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B055C" w14:textId="77777777" w:rsidR="006051A4" w:rsidRDefault="002C63F4" w:rsidP="002C63F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Emily Joseph</w:t>
      </w:r>
    </w:p>
    <w:p w14:paraId="36C963DA" w14:textId="77777777" w:rsidR="002C63F4" w:rsidRDefault="002C63F4" w:rsidP="002C63F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T/R 10:50 A.M.</w:t>
      </w:r>
    </w:p>
    <w:p w14:paraId="67087C55" w14:textId="77777777" w:rsidR="002C63F4" w:rsidRDefault="00660267" w:rsidP="002C63F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ejoseph1@</w:t>
      </w:r>
      <w:r w:rsidR="002C63F4" w:rsidRPr="002C63F4">
        <w:rPr>
          <w:rFonts w:ascii="Times New Roman" w:hAnsi="Times New Roman" w:cs="Times New Roman"/>
        </w:rPr>
        <w:t>uca.edu</w:t>
      </w:r>
    </w:p>
    <w:p w14:paraId="4B96B66C" w14:textId="77777777" w:rsidR="002C63F4" w:rsidRDefault="002C63F4" w:rsidP="002C63F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Gender/Women</w:t>
      </w:r>
    </w:p>
    <w:p w14:paraId="6FE13C80" w14:textId="77777777" w:rsidR="002C63F4" w:rsidRDefault="002C63F4" w:rsidP="002C63F4">
      <w:pPr>
        <w:pStyle w:val="NoSpacing"/>
      </w:pPr>
    </w:p>
    <w:p w14:paraId="2EDAF097" w14:textId="77777777" w:rsidR="002C63F4" w:rsidRDefault="002C63F4" w:rsidP="006A2CB8">
      <w:pPr>
        <w:spacing w:line="480" w:lineRule="auto"/>
        <w:ind w:firstLine="720"/>
        <w:jc w:val="both"/>
      </w:pPr>
      <w:r>
        <w:t>Throughout history</w:t>
      </w:r>
      <w:r w:rsidR="00660267">
        <w:t>,</w:t>
      </w:r>
      <w:r>
        <w:t xml:space="preserve"> </w:t>
      </w:r>
      <w:r w:rsidR="00D9344A">
        <w:t xml:space="preserve">matters concerning the role of sexes and </w:t>
      </w:r>
      <w:r w:rsidR="008879C2">
        <w:t xml:space="preserve">the function of </w:t>
      </w:r>
      <w:r w:rsidR="00D9344A">
        <w:t>women</w:t>
      </w:r>
      <w:r w:rsidR="008879C2">
        <w:t xml:space="preserve"> </w:t>
      </w:r>
      <w:r w:rsidR="00D9344A">
        <w:t xml:space="preserve">in society </w:t>
      </w:r>
      <w:r w:rsidR="00F422B7">
        <w:t xml:space="preserve">prove </w:t>
      </w:r>
      <w:r w:rsidR="006A2CB8">
        <w:t xml:space="preserve">themselves </w:t>
      </w:r>
      <w:r w:rsidR="00F422B7">
        <w:t xml:space="preserve">to be fundamental thematic elements in the </w:t>
      </w:r>
      <w:r w:rsidR="006857CE">
        <w:t xml:space="preserve">appreciation of past civilizations. </w:t>
      </w:r>
      <w:r w:rsidR="006A2CB8">
        <w:t>Though</w:t>
      </w:r>
      <w:r w:rsidR="00A23DFB">
        <w:t xml:space="preserve"> not static</w:t>
      </w:r>
      <w:r w:rsidR="006A2CB8">
        <w:t xml:space="preserve">, male dominance is </w:t>
      </w:r>
      <w:r w:rsidR="00A23DFB">
        <w:t>the pre</w:t>
      </w:r>
      <w:r w:rsidR="00754644">
        <w:t xml:space="preserve">vailing hierarchical archetype </w:t>
      </w:r>
      <w:r w:rsidR="00A23DFB">
        <w:t>(A Textual Journey)</w:t>
      </w:r>
      <w:r w:rsidR="006552E3">
        <w:t>, and i</w:t>
      </w:r>
      <w:r w:rsidR="00754644">
        <w:t xml:space="preserve">n </w:t>
      </w:r>
      <w:r w:rsidR="006552E3">
        <w:t>light</w:t>
      </w:r>
      <w:r w:rsidR="00754644">
        <w:t xml:space="preserve"> of </w:t>
      </w:r>
      <w:r w:rsidR="00754644">
        <w:rPr>
          <w:i/>
        </w:rPr>
        <w:t>The Laws of Manu</w:t>
      </w:r>
      <w:r w:rsidR="00754644">
        <w:t>,</w:t>
      </w:r>
      <w:r w:rsidR="00754644">
        <w:rPr>
          <w:i/>
        </w:rPr>
        <w:t xml:space="preserve"> Hammurabi’s Code</w:t>
      </w:r>
      <w:r w:rsidR="00754644">
        <w:t xml:space="preserve">, </w:t>
      </w:r>
      <w:r w:rsidR="00754644">
        <w:rPr>
          <w:i/>
        </w:rPr>
        <w:t>Justinian Code</w:t>
      </w:r>
      <w:r w:rsidR="00754644">
        <w:t xml:space="preserve">, and </w:t>
      </w:r>
      <w:r w:rsidR="00754644">
        <w:rPr>
          <w:i/>
        </w:rPr>
        <w:t>From the Sunnah</w:t>
      </w:r>
      <w:r w:rsidR="00754644">
        <w:t xml:space="preserve">, one may note the comparative </w:t>
      </w:r>
      <w:r w:rsidR="006552E3">
        <w:t>depiction of women’s guise in societies separated by time and geography.</w:t>
      </w:r>
    </w:p>
    <w:p w14:paraId="204C8E86" w14:textId="77777777" w:rsidR="006552E3" w:rsidRDefault="00D06BBC" w:rsidP="006A2CB8">
      <w:pPr>
        <w:spacing w:line="480" w:lineRule="auto"/>
        <w:ind w:firstLine="720"/>
        <w:jc w:val="both"/>
      </w:pPr>
      <w:r>
        <w:t>In each of these textual guidelines for society, men are tasked in the lea</w:t>
      </w:r>
      <w:r w:rsidR="00791076">
        <w:t>dership of their wife and home. Without regard to age, by Manuan law, a female is never to be independent of a man, be it the</w:t>
      </w:r>
      <w:r w:rsidR="009705A2">
        <w:t xml:space="preserve"> woman’s father, husband, or sons in the death of the former </w:t>
      </w:r>
      <w:r w:rsidR="00791076">
        <w:t xml:space="preserve">(54). </w:t>
      </w:r>
      <w:r w:rsidR="009705A2">
        <w:t xml:space="preserve"> In conjunction with </w:t>
      </w:r>
      <w:r w:rsidR="009705A2">
        <w:rPr>
          <w:i/>
        </w:rPr>
        <w:t>From the Sunnah</w:t>
      </w:r>
      <w:r w:rsidR="009705A2">
        <w:t xml:space="preserve">, </w:t>
      </w:r>
      <w:r w:rsidR="00D601B4">
        <w:t>a woman is</w:t>
      </w:r>
      <w:r w:rsidR="009705A2">
        <w:t xml:space="preserve"> expected to </w:t>
      </w:r>
      <w:r w:rsidR="00D601B4">
        <w:t>be virtuous and worship her husband</w:t>
      </w:r>
      <w:r w:rsidR="00013D79">
        <w:t xml:space="preserve"> as </w:t>
      </w:r>
      <w:r w:rsidR="00D601B4">
        <w:t>a god</w:t>
      </w:r>
      <w:r w:rsidR="00013D79">
        <w:t>, living only to appease her husband in this life to be exalted in the next (55, 184).</w:t>
      </w:r>
      <w:r w:rsidR="005A064A">
        <w:t xml:space="preserve">  </w:t>
      </w:r>
      <w:r w:rsidR="007064BC">
        <w:t xml:space="preserve">Though, in this respect, only vaguely similar, </w:t>
      </w:r>
      <w:r w:rsidR="00335BF5">
        <w:rPr>
          <w:i/>
        </w:rPr>
        <w:t>Hammurabi’s Code</w:t>
      </w:r>
      <w:r w:rsidR="00335BF5">
        <w:t xml:space="preserve"> </w:t>
      </w:r>
      <w:r w:rsidR="007064BC">
        <w:t xml:space="preserve">profoundly abhors adultery.  Despite this fact, this code </w:t>
      </w:r>
      <w:r w:rsidR="00335BF5">
        <w:t>implies that a duty of a husband to his wife as the lea</w:t>
      </w:r>
      <w:r w:rsidR="007064BC">
        <w:t>der of the home is to provide; i</w:t>
      </w:r>
      <w:r w:rsidR="00335BF5">
        <w:t xml:space="preserve">f he is imprisoned, “and there is no food in his house”, his wife </w:t>
      </w:r>
      <w:r w:rsidR="004541BC">
        <w:t>may “enter the house of another…[</w:t>
      </w:r>
      <w:r w:rsidR="00335BF5">
        <w:t>without</w:t>
      </w:r>
      <w:r w:rsidR="004541BC">
        <w:t>]</w:t>
      </w:r>
      <w:r w:rsidR="00335BF5">
        <w:t xml:space="preserve"> blame</w:t>
      </w:r>
      <w:r w:rsidR="004541BC">
        <w:t>”</w:t>
      </w:r>
      <w:r w:rsidR="00335BF5">
        <w:t xml:space="preserve"> (10).</w:t>
      </w:r>
    </w:p>
    <w:p w14:paraId="340470F7" w14:textId="77777777" w:rsidR="00335BF5" w:rsidRDefault="004541BC" w:rsidP="0011543E">
      <w:pPr>
        <w:spacing w:line="480" w:lineRule="auto"/>
        <w:ind w:firstLine="720"/>
        <w:jc w:val="both"/>
      </w:pPr>
      <w:r>
        <w:t xml:space="preserve">Akin to </w:t>
      </w:r>
      <w:r>
        <w:rPr>
          <w:i/>
        </w:rPr>
        <w:t>Hammurabi’s Code</w:t>
      </w:r>
      <w:r>
        <w:t xml:space="preserve">, the </w:t>
      </w:r>
      <w:r>
        <w:rPr>
          <w:i/>
        </w:rPr>
        <w:t>Justinian Code</w:t>
      </w:r>
      <w:r>
        <w:t xml:space="preserve"> gives rights to women. </w:t>
      </w:r>
      <w:r w:rsidR="00BE60FB">
        <w:t>While Manuan and Sunnan</w:t>
      </w:r>
      <w:r w:rsidR="00FB0924">
        <w:t xml:space="preserve"> law requires the weaker sex to be passionately subservient to their husbands</w:t>
      </w:r>
      <w:r w:rsidR="004706D7">
        <w:t xml:space="preserve"> (55, 185)</w:t>
      </w:r>
      <w:r w:rsidR="00FB0924">
        <w:t xml:space="preserve">, the aforementioned codes allow women basic human rights.  </w:t>
      </w:r>
      <w:r w:rsidR="00FB0924">
        <w:rPr>
          <w:i/>
        </w:rPr>
        <w:t>Justinian Code</w:t>
      </w:r>
      <w:r w:rsidR="00FB0924">
        <w:t xml:space="preserve"> refers to these rights as “natural law”, relating animalistic tendencies</w:t>
      </w:r>
      <w:r w:rsidR="00BF7E86">
        <w:t>, such as the union of male and female and the preservation of species,</w:t>
      </w:r>
      <w:r w:rsidR="00FB0924">
        <w:t xml:space="preserve"> </w:t>
      </w:r>
      <w:r w:rsidR="00BF7E86">
        <w:t xml:space="preserve">to the treatment of another human being (153).  </w:t>
      </w:r>
      <w:r w:rsidR="00D601B4">
        <w:t xml:space="preserve">This, however, does not dismiss the hierarchy of male dominance; a woman under </w:t>
      </w:r>
      <w:r w:rsidR="00D601B4">
        <w:lastRenderedPageBreak/>
        <w:t xml:space="preserve">this jurisdiction may not participate in certain legal affairs, such as adoption (161). </w:t>
      </w:r>
      <w:r w:rsidR="0011543E">
        <w:t xml:space="preserve"> </w:t>
      </w:r>
      <w:r w:rsidR="00BF7E86">
        <w:rPr>
          <w:i/>
        </w:rPr>
        <w:t>Hammurabi’s Code</w:t>
      </w:r>
      <w:r w:rsidR="00D601B4">
        <w:t xml:space="preserve"> dictates that, in divorce or separation in which the woman bares no fault, she may le</w:t>
      </w:r>
      <w:r w:rsidR="007064BC">
        <w:t>ave her husband wi</w:t>
      </w:r>
      <w:r w:rsidR="00E13D62">
        <w:t xml:space="preserve">th </w:t>
      </w:r>
      <w:r w:rsidR="00BE60FB">
        <w:t xml:space="preserve">her </w:t>
      </w:r>
      <w:r w:rsidR="00E13D62">
        <w:t>dowry unadulterated</w:t>
      </w:r>
      <w:r w:rsidR="0011543E">
        <w:t>,</w:t>
      </w:r>
      <w:r w:rsidR="00E13D62">
        <w:t xml:space="preserve"> </w:t>
      </w:r>
      <w:r w:rsidR="0011543E">
        <w:t>and remarry if she so chooses (</w:t>
      </w:r>
      <w:r w:rsidR="00E13D62">
        <w:t>10</w:t>
      </w:r>
      <w:r w:rsidR="0011543E">
        <w:t>, 11).</w:t>
      </w:r>
    </w:p>
    <w:p w14:paraId="296E75BE" w14:textId="77777777" w:rsidR="007840F0" w:rsidRDefault="007840F0" w:rsidP="003B6DF0">
      <w:pPr>
        <w:spacing w:line="480" w:lineRule="auto"/>
        <w:ind w:firstLine="720"/>
        <w:jc w:val="both"/>
      </w:pPr>
      <w:r>
        <w:t xml:space="preserve">In Manuan and Sunnan law, </w:t>
      </w:r>
      <w:r w:rsidR="00BE60FB">
        <w:t>a virtuous woman is elucidated as one</w:t>
      </w:r>
      <w:r>
        <w:t xml:space="preserve"> who adhere</w:t>
      </w:r>
      <w:r w:rsidR="00BE60FB">
        <w:t>s</w:t>
      </w:r>
      <w:r>
        <w:t xml:space="preserve"> to </w:t>
      </w:r>
      <w:r w:rsidR="00BE60FB">
        <w:t>her husband</w:t>
      </w:r>
      <w:r>
        <w:t xml:space="preserve"> without omission (55, 185).  </w:t>
      </w:r>
      <w:r w:rsidR="003B6DF0">
        <w:t xml:space="preserve">In doing so, she may “enter into paradise” alongside her husband (56, 185). </w:t>
      </w:r>
      <w:r>
        <w:t>Possibly because Manuan politics and religion are so strictly integrated, a woman’s remarriage even after the death of her husband</w:t>
      </w:r>
      <w:r w:rsidR="00BE60FB">
        <w:t>,</w:t>
      </w:r>
      <w:r>
        <w:t xml:space="preserve"> is not customary, nor tolerable.  Acts of this nature “[are nowhere] prescribed for virtuous women” (55). “A virtuous wife who, after the death of her husband, constantly remains chaste</w:t>
      </w:r>
      <w:r w:rsidR="003B6DF0">
        <w:t xml:space="preserve"> reaches heaven.” (55)</w:t>
      </w:r>
    </w:p>
    <w:p w14:paraId="0DA7D4D7" w14:textId="77777777" w:rsidR="003B6DF0" w:rsidRDefault="00BE60FB" w:rsidP="003B6DF0">
      <w:pPr>
        <w:spacing w:line="480" w:lineRule="auto"/>
        <w:ind w:firstLine="720"/>
        <w:jc w:val="both"/>
      </w:pPr>
      <w:r>
        <w:t xml:space="preserve">Though estranged </w:t>
      </w:r>
      <w:r w:rsidR="002B5DBC">
        <w:t xml:space="preserve">to each other by the dictated forces of nature, the disposition of women maintains striking parallels within their respects. </w:t>
      </w:r>
      <w:bookmarkStart w:id="0" w:name="_GoBack"/>
      <w:bookmarkEnd w:id="0"/>
    </w:p>
    <w:sectPr w:rsidR="003B6DF0" w:rsidSect="00E13D6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87E09" w14:textId="77777777" w:rsidR="002B5DBC" w:rsidRDefault="002B5DBC" w:rsidP="00E13D62">
      <w:r>
        <w:separator/>
      </w:r>
    </w:p>
  </w:endnote>
  <w:endnote w:type="continuationSeparator" w:id="0">
    <w:p w14:paraId="76EF8879" w14:textId="77777777" w:rsidR="002B5DBC" w:rsidRDefault="002B5DBC" w:rsidP="00E1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4250E" w14:textId="77777777" w:rsidR="002B5DBC" w:rsidRDefault="002B5DBC" w:rsidP="00E13D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54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99E766F" w14:textId="77777777" w:rsidR="002B5DBC" w:rsidRDefault="002B5DBC" w:rsidP="00E13D6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25F2" w14:textId="77777777" w:rsidR="002B5DBC" w:rsidRDefault="002B5DBC" w:rsidP="00E13D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543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4EB950" w14:textId="77777777" w:rsidR="002B5DBC" w:rsidRDefault="002B5DBC" w:rsidP="00E13D62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CF546" w14:textId="77777777" w:rsidR="002B5DBC" w:rsidRDefault="002B5DBC" w:rsidP="00E13D62">
      <w:r>
        <w:separator/>
      </w:r>
    </w:p>
  </w:footnote>
  <w:footnote w:type="continuationSeparator" w:id="0">
    <w:p w14:paraId="5E0019B3" w14:textId="77777777" w:rsidR="002B5DBC" w:rsidRDefault="002B5DBC" w:rsidP="00E13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F4"/>
    <w:rsid w:val="00013D79"/>
    <w:rsid w:val="0011543E"/>
    <w:rsid w:val="001162DA"/>
    <w:rsid w:val="002B5DBC"/>
    <w:rsid w:val="002C63F4"/>
    <w:rsid w:val="00335BF5"/>
    <w:rsid w:val="003B6DF0"/>
    <w:rsid w:val="003D543A"/>
    <w:rsid w:val="004302E9"/>
    <w:rsid w:val="004541BC"/>
    <w:rsid w:val="004706D7"/>
    <w:rsid w:val="005A064A"/>
    <w:rsid w:val="006051A4"/>
    <w:rsid w:val="006552E3"/>
    <w:rsid w:val="00660267"/>
    <w:rsid w:val="006857CE"/>
    <w:rsid w:val="006A2CB8"/>
    <w:rsid w:val="007064BC"/>
    <w:rsid w:val="00730CF7"/>
    <w:rsid w:val="00754644"/>
    <w:rsid w:val="007840F0"/>
    <w:rsid w:val="00791076"/>
    <w:rsid w:val="008879C2"/>
    <w:rsid w:val="008D1C44"/>
    <w:rsid w:val="009705A2"/>
    <w:rsid w:val="00A23DFB"/>
    <w:rsid w:val="00BE60FB"/>
    <w:rsid w:val="00BF7E86"/>
    <w:rsid w:val="00C47A57"/>
    <w:rsid w:val="00D06BBC"/>
    <w:rsid w:val="00D601B4"/>
    <w:rsid w:val="00D9344A"/>
    <w:rsid w:val="00E13D62"/>
    <w:rsid w:val="00F422B7"/>
    <w:rsid w:val="00FB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B0AB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63F4"/>
  </w:style>
  <w:style w:type="character" w:styleId="Hyperlink">
    <w:name w:val="Hyperlink"/>
    <w:basedOn w:val="DefaultParagraphFont"/>
    <w:uiPriority w:val="99"/>
    <w:unhideWhenUsed/>
    <w:rsid w:val="002C63F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3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D62"/>
  </w:style>
  <w:style w:type="paragraph" w:styleId="Footer">
    <w:name w:val="footer"/>
    <w:basedOn w:val="Normal"/>
    <w:link w:val="FooterChar"/>
    <w:uiPriority w:val="99"/>
    <w:unhideWhenUsed/>
    <w:rsid w:val="00E13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D62"/>
  </w:style>
  <w:style w:type="table" w:styleId="LightShading-Accent1">
    <w:name w:val="Light Shading Accent 1"/>
    <w:basedOn w:val="TableNormal"/>
    <w:uiPriority w:val="60"/>
    <w:rsid w:val="00E13D6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13D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63F4"/>
  </w:style>
  <w:style w:type="character" w:styleId="Hyperlink">
    <w:name w:val="Hyperlink"/>
    <w:basedOn w:val="DefaultParagraphFont"/>
    <w:uiPriority w:val="99"/>
    <w:unhideWhenUsed/>
    <w:rsid w:val="002C63F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3D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D62"/>
  </w:style>
  <w:style w:type="paragraph" w:styleId="Footer">
    <w:name w:val="footer"/>
    <w:basedOn w:val="Normal"/>
    <w:link w:val="FooterChar"/>
    <w:uiPriority w:val="99"/>
    <w:unhideWhenUsed/>
    <w:rsid w:val="00E13D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D62"/>
  </w:style>
  <w:style w:type="table" w:styleId="LightShading-Accent1">
    <w:name w:val="Light Shading Accent 1"/>
    <w:basedOn w:val="TableNormal"/>
    <w:uiPriority w:val="60"/>
    <w:rsid w:val="00E13D6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13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C84521-DBDD-E640-A099-5A7DB6D0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418</Words>
  <Characters>2387</Characters>
  <Application>Microsoft Macintosh Word</Application>
  <DocSecurity>0</DocSecurity>
  <Lines>19</Lines>
  <Paragraphs>5</Paragraphs>
  <ScaleCrop>false</ScaleCrop>
  <Company>University of Central Arkansas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Joseph</dc:creator>
  <cp:keywords/>
  <dc:description/>
  <cp:lastModifiedBy>Emily Joseph</cp:lastModifiedBy>
  <cp:revision>2</cp:revision>
  <dcterms:created xsi:type="dcterms:W3CDTF">2011-09-15T09:26:00Z</dcterms:created>
  <dcterms:modified xsi:type="dcterms:W3CDTF">2011-09-15T15:44:00Z</dcterms:modified>
</cp:coreProperties>
</file>